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技术参数及配置标准</w:t>
      </w:r>
    </w:p>
    <w:p>
      <w:pPr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产品名称：中医经络检测仪</w:t>
      </w:r>
    </w:p>
    <w:p>
      <w:pPr>
        <w:ind w:firstLine="562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1.技术参数 </w:t>
      </w:r>
    </w:p>
    <w:p>
      <w:pPr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1.1、信号源输出电压： 7.8±0.2V；</w:t>
      </w:r>
    </w:p>
    <w:p>
      <w:pPr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*1.2、经络检测值： 0—192.75单位；</w:t>
      </w:r>
    </w:p>
    <w:p>
      <w:pPr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1.3、经络检测精度： 80±2标准单位；</w:t>
      </w:r>
    </w:p>
    <w:p>
      <w:pPr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1.4、经络检测仪稳定性：显示检测值稳定在78-82单位以内；</w:t>
      </w:r>
    </w:p>
    <w:p>
      <w:pPr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1.5、检测仪重复性：平均相对偏差为不大于±1%；</w:t>
      </w:r>
    </w:p>
    <w:p>
      <w:pPr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1.6、经络检测端口：主机依据型号分类兼容USB多级采集端口；</w:t>
      </w:r>
    </w:p>
    <w:p>
      <w:pPr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1.7、工作输入电压： DC5V（由计算机USB接口获取）；</w:t>
      </w:r>
    </w:p>
    <w:p>
      <w:pPr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1.8、能量耦合片阻抗（采集器承载腔）：R&lt;3Ω；</w:t>
      </w:r>
    </w:p>
    <w:p>
      <w:pPr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1.9、经络探测极体阻抗：R&lt;100Ω；</w:t>
      </w:r>
    </w:p>
    <w:p>
      <w:pPr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1.10、穴位传导极体阻抗：R&lt;100Ω；</w:t>
      </w:r>
    </w:p>
    <w:p>
      <w:pPr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1.11、经络探测极体尺寸：Φ8mm；</w:t>
      </w:r>
    </w:p>
    <w:p>
      <w:pPr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1.12、主机安全类别： 1类BF型；</w:t>
      </w:r>
    </w:p>
    <w:p>
      <w:pPr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1.13、主机输入电压： AC220V；</w:t>
      </w:r>
    </w:p>
    <w:p>
      <w:pPr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1.14、主机使用寿命： 15年</w:t>
      </w:r>
    </w:p>
    <w:p>
      <w:pPr>
        <w:ind w:firstLine="56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*1.15、检测端口：在产品技术要求中主机依据型号分类兼容USB多级采集端口；端口设置S4端，探测器数量S2端。</w:t>
      </w:r>
    </w:p>
    <w:p>
      <w:pPr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*1.16、医疗器械注册登记表中产品适用范围须体现：该产品依据传统中医经络理论，替代中医脉诊。对人体健康状况存在的倾向性或潜在性的不正常状况、问题、障碍做出初步判断，实施人体健康状态普查、筛查。</w:t>
      </w:r>
    </w:p>
    <w:p>
      <w:pPr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*1.17、配备多参数采集器：可对温度、湿度、大气压力、皮肤弹性刚度等检测因素进行量化并参与检测结果运算。需提供第三方检测机构出具的检测报告。</w:t>
      </w:r>
    </w:p>
    <w:p>
      <w:pPr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*1.18、通过采集器对人体的12条经络的24个原穴以及48个穴位进行真实的探测，对经络穴位信息进行采集、判读、分析，可以诊察人体脏腑的气血、阴阳、生理与病理的状况，判断人体功能及病理变化。最终对人体的健康状况给出一个综合评估报告，病人的经络检测分析结果报告单由“中医未病报告、单经分析报告、经络体征分析报告”组成。</w:t>
      </w:r>
    </w:p>
    <w:p>
      <w:pPr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*1.19、具有“人体经络穴区及全息裸点数据信息采集系统”计算机软件著作权登记证书。需提供对应功能的软件著作权。</w:t>
      </w:r>
    </w:p>
    <w:p>
      <w:pPr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*1.20、具有一种远程无线人体经络信息采集系统。需提供对应功能的软件著作权。</w:t>
      </w:r>
    </w:p>
    <w:p>
      <w:pPr>
        <w:ind w:firstLine="562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2、技术配置：</w:t>
      </w:r>
    </w:p>
    <w:tbl>
      <w:tblPr>
        <w:tblStyle w:val="6"/>
        <w:tblW w:w="0" w:type="auto"/>
        <w:tblInd w:w="5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4"/>
        <w:gridCol w:w="4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56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1、B型操作台 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56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56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2、高配置计算机 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56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1台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56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3、显示器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56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56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4、传导极体 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56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56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5、探测极体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56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56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6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、敷料盒 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56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5个</w:t>
            </w:r>
          </w:p>
        </w:tc>
      </w:tr>
    </w:tbl>
    <w:p>
      <w:pPr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7、中医经络分析系统       1套</w:t>
      </w:r>
    </w:p>
    <w:p>
      <w:pPr>
        <w:ind w:firstLine="480"/>
        <w:rPr>
          <w:rFonts w:ascii="宋体" w:hAnsi="宋体"/>
        </w:rPr>
      </w:pPr>
      <w:r>
        <w:rPr>
          <w:rFonts w:hint="eastAsia" w:ascii="宋体" w:hAnsi="宋体"/>
        </w:rPr>
        <w:t xml:space="preserve">  </w:t>
      </w:r>
    </w:p>
    <w:p>
      <w:pPr>
        <w:ind w:firstLine="480"/>
        <w:rPr>
          <w:rFonts w:asciiTheme="minorEastAsia" w:hAnsiTheme="minorEastAsia" w:eastAsiaTheme="minorEastAsia"/>
        </w:rPr>
      </w:pPr>
    </w:p>
    <w:p>
      <w:pPr>
        <w:ind w:firstLine="883"/>
        <w:jc w:val="center"/>
        <w:rPr>
          <w:rFonts w:asciiTheme="majorEastAsia" w:hAnsiTheme="majorEastAsia" w:eastAsiaTheme="majorEastAsia"/>
          <w:b/>
          <w:sz w:val="44"/>
          <w:szCs w:val="44"/>
          <w:shd w:val="clear" w:color="auto" w:fill="FFFFFF"/>
        </w:rPr>
      </w:pPr>
    </w:p>
    <w:p>
      <w:pPr>
        <w:ind w:firstLine="883"/>
        <w:jc w:val="center"/>
        <w:rPr>
          <w:rFonts w:asciiTheme="majorEastAsia" w:hAnsiTheme="majorEastAsia" w:eastAsiaTheme="majorEastAsia"/>
          <w:b/>
          <w:sz w:val="44"/>
          <w:szCs w:val="44"/>
          <w:shd w:val="clear" w:color="auto" w:fill="FFFFFF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shd w:val="clear" w:color="auto" w:fill="FFFFFF"/>
        </w:rPr>
        <w:t>中医四诊体质仪</w:t>
      </w:r>
    </w:p>
    <w:p>
      <w:pPr>
        <w:spacing w:line="440" w:lineRule="exact"/>
        <w:ind w:firstLine="562"/>
        <w:rPr>
          <w:rFonts w:cs="华文仿宋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华文仿宋" w:asciiTheme="minorEastAsia" w:hAnsiTheme="minorEastAsia" w:eastAsiaTheme="minorEastAsia"/>
          <w:b/>
          <w:bCs/>
          <w:kern w:val="0"/>
          <w:sz w:val="28"/>
          <w:szCs w:val="28"/>
        </w:rPr>
        <w:t>一</w:t>
      </w:r>
      <w:r>
        <w:rPr>
          <w:rFonts w:hint="eastAsia" w:cs="华文仿宋" w:asciiTheme="minorEastAsia" w:hAnsiTheme="minorEastAsia" w:eastAsiaTheme="minorEastAsia"/>
          <w:b/>
          <w:bCs/>
          <w:sz w:val="28"/>
          <w:szCs w:val="28"/>
        </w:rPr>
        <w:t>．主要目的：</w:t>
      </w:r>
    </w:p>
    <w:p>
      <w:pPr>
        <w:numPr>
          <w:ilvl w:val="0"/>
          <w:numId w:val="1"/>
        </w:numPr>
        <w:spacing w:line="440" w:lineRule="exact"/>
        <w:rPr>
          <w:rFonts w:cs="华文仿宋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华文仿宋" w:asciiTheme="minorEastAsia" w:hAnsiTheme="minorEastAsia" w:eastAsiaTheme="minorEastAsia"/>
          <w:kern w:val="0"/>
          <w:sz w:val="28"/>
          <w:szCs w:val="28"/>
        </w:rPr>
        <w:t>提升健康管理中心的服务品质，提高中医健康管理能力；</w:t>
      </w:r>
    </w:p>
    <w:p>
      <w:pPr>
        <w:numPr>
          <w:ilvl w:val="0"/>
          <w:numId w:val="1"/>
        </w:numPr>
        <w:spacing w:line="440" w:lineRule="exact"/>
        <w:rPr>
          <w:rFonts w:cs="华文仿宋" w:asciiTheme="minorEastAsia" w:hAnsiTheme="minorEastAsia" w:eastAsiaTheme="minorEastAsia"/>
          <w:sz w:val="28"/>
          <w:szCs w:val="28"/>
        </w:rPr>
      </w:pPr>
      <w:r>
        <w:rPr>
          <w:rFonts w:hint="eastAsia" w:cs="华文仿宋" w:asciiTheme="minorEastAsia" w:hAnsiTheme="minorEastAsia" w:eastAsiaTheme="minorEastAsia"/>
          <w:kern w:val="0"/>
          <w:sz w:val="28"/>
          <w:szCs w:val="28"/>
        </w:rPr>
        <w:t>提供中医数字化四诊体质辨识服务，通过人机交流，建立全面中医健康档案，提供中医特色辨识干预一体化服务。</w:t>
      </w:r>
    </w:p>
    <w:p>
      <w:pPr>
        <w:keepNext/>
        <w:keepLines/>
        <w:spacing w:line="480" w:lineRule="auto"/>
        <w:ind w:firstLine="562"/>
        <w:outlineLvl w:val="0"/>
        <w:rPr>
          <w:rFonts w:cs="华文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华文仿宋" w:asciiTheme="minorEastAsia" w:hAnsiTheme="minorEastAsia" w:eastAsiaTheme="minorEastAsia"/>
          <w:b/>
          <w:sz w:val="28"/>
          <w:szCs w:val="28"/>
        </w:rPr>
        <w:t>二、技术参数部分</w:t>
      </w:r>
    </w:p>
    <w:p>
      <w:pPr>
        <w:keepNext/>
        <w:keepLines/>
        <w:spacing w:line="480" w:lineRule="auto"/>
        <w:ind w:firstLine="562"/>
        <w:outlineLvl w:val="0"/>
        <w:rPr>
          <w:rFonts w:cs="华文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华文仿宋" w:asciiTheme="minorEastAsia" w:hAnsiTheme="minorEastAsia" w:eastAsiaTheme="minorEastAsia"/>
          <w:b/>
          <w:sz w:val="28"/>
          <w:szCs w:val="28"/>
        </w:rPr>
        <w:t>1、设备安全性能要求</w:t>
      </w:r>
    </w:p>
    <w:p>
      <w:pPr>
        <w:keepNext/>
        <w:keepLines/>
        <w:ind w:firstLine="560"/>
        <w:outlineLvl w:val="1"/>
        <w:rPr>
          <w:rFonts w:cs="华文仿宋" w:asciiTheme="minorEastAsia" w:hAnsiTheme="minorEastAsia" w:eastAsiaTheme="minorEastAsia"/>
          <w:bCs/>
          <w:sz w:val="28"/>
          <w:szCs w:val="28"/>
        </w:rPr>
      </w:pPr>
      <w:r>
        <w:rPr>
          <w:rFonts w:hint="eastAsia" w:cs="华文仿宋" w:asciiTheme="minorEastAsia" w:hAnsiTheme="minorEastAsia" w:eastAsiaTheme="minorEastAsia"/>
          <w:bCs/>
          <w:sz w:val="28"/>
          <w:szCs w:val="28"/>
        </w:rPr>
        <w:t>1）投标产品须具备舌象、脉象等多种中医诊断数据采集与分析功能的设备，在须提供医疗器械注册证；</w:t>
      </w:r>
    </w:p>
    <w:p>
      <w:pPr>
        <w:keepNext/>
        <w:keepLines/>
        <w:ind w:firstLine="560"/>
        <w:outlineLvl w:val="1"/>
        <w:rPr>
          <w:rFonts w:cs="华文仿宋" w:asciiTheme="minorEastAsia" w:hAnsiTheme="minorEastAsia" w:eastAsiaTheme="minorEastAsia"/>
          <w:bCs/>
          <w:sz w:val="28"/>
          <w:szCs w:val="28"/>
        </w:rPr>
      </w:pPr>
      <w:r>
        <w:rPr>
          <w:rFonts w:hint="eastAsia" w:cs="华文仿宋" w:asciiTheme="minorEastAsia" w:hAnsiTheme="minorEastAsia" w:eastAsiaTheme="minorEastAsia"/>
          <w:bCs/>
          <w:sz w:val="28"/>
          <w:szCs w:val="28"/>
        </w:rPr>
        <w:t>2）设备须通过电磁兼容（EMC）安全强制标准检验；</w:t>
      </w:r>
    </w:p>
    <w:p>
      <w:pPr>
        <w:keepNext/>
        <w:keepLines/>
        <w:ind w:firstLine="560"/>
        <w:outlineLvl w:val="1"/>
        <w:rPr>
          <w:rFonts w:cs="华文仿宋" w:asciiTheme="minorEastAsia" w:hAnsiTheme="minorEastAsia" w:eastAsiaTheme="minorEastAsia"/>
          <w:bCs/>
          <w:sz w:val="28"/>
          <w:szCs w:val="28"/>
        </w:rPr>
      </w:pPr>
      <w:r>
        <w:rPr>
          <w:rFonts w:hint="eastAsia" w:cs="华文仿宋" w:asciiTheme="minorEastAsia" w:hAnsiTheme="minorEastAsia" w:eastAsiaTheme="minorEastAsia"/>
          <w:bCs/>
          <w:sz w:val="28"/>
          <w:szCs w:val="28"/>
        </w:rPr>
        <w:t>3）设备须通过细胞毒性、过敏反应及皮肤刺激等项目检验；</w:t>
      </w:r>
    </w:p>
    <w:p>
      <w:pPr>
        <w:keepNext/>
        <w:keepLines/>
        <w:ind w:firstLine="560"/>
        <w:outlineLvl w:val="1"/>
        <w:rPr>
          <w:rFonts w:cs="华文仿宋" w:asciiTheme="minorEastAsia" w:hAnsiTheme="minorEastAsia" w:eastAsiaTheme="minorEastAsia"/>
          <w:bCs/>
          <w:sz w:val="28"/>
          <w:szCs w:val="28"/>
        </w:rPr>
      </w:pPr>
      <w:r>
        <w:rPr>
          <w:rFonts w:hint="eastAsia" w:cs="华文仿宋" w:asciiTheme="minorEastAsia" w:hAnsiTheme="minorEastAsia" w:eastAsiaTheme="minorEastAsia"/>
          <w:bCs/>
          <w:sz w:val="28"/>
          <w:szCs w:val="28"/>
        </w:rPr>
        <w:t>4）设备整体技术指标须符合《YY/T 1488-2016 舌象信息采集设备》及《YY/T 1489-2016 中医脉图采集设备》标准要求；</w:t>
      </w:r>
    </w:p>
    <w:p>
      <w:pPr>
        <w:keepNext/>
        <w:keepLines/>
        <w:spacing w:line="480" w:lineRule="auto"/>
        <w:ind w:firstLine="562"/>
        <w:outlineLvl w:val="0"/>
        <w:rPr>
          <w:rFonts w:cs="华文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华文仿宋" w:asciiTheme="minorEastAsia" w:hAnsiTheme="minorEastAsia" w:eastAsiaTheme="minorEastAsia"/>
          <w:b/>
          <w:sz w:val="28"/>
          <w:szCs w:val="28"/>
        </w:rPr>
        <w:t>三、设备技术性能要求</w:t>
      </w:r>
    </w:p>
    <w:p>
      <w:pPr>
        <w:spacing w:line="490" w:lineRule="exact"/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1、舌面象采集窗口光源显色指数：Ra≥85；</w:t>
      </w:r>
    </w:p>
    <w:p>
      <w:pPr>
        <w:spacing w:line="490" w:lineRule="exact"/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2、舌面象采集窗口光源色温：4500K≤Tc≤6500K；</w:t>
      </w:r>
    </w:p>
    <w:p>
      <w:pPr>
        <w:spacing w:line="490" w:lineRule="exact"/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3、舌面象采集窗口照度值（Ec）：标称值（X）允差为±10%；</w:t>
      </w:r>
    </w:p>
    <w:p>
      <w:pPr>
        <w:spacing w:line="490" w:lineRule="exact"/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4、舌面采集装置光源须通过光源安全性检验，确保光源安全性；</w:t>
      </w:r>
    </w:p>
    <w:p>
      <w:pPr>
        <w:spacing w:line="490" w:lineRule="exact"/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5、具有面色诊测信息分析功能，可对面色进行智能分析，供医生参考；</w:t>
      </w:r>
    </w:p>
    <w:p>
      <w:pPr>
        <w:spacing w:line="490" w:lineRule="exact"/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6</w:t>
      </w:r>
      <w:r>
        <w:rPr>
          <w:rFonts w:hint="eastAsia" w:asciiTheme="minorEastAsia" w:hAnsiTheme="minorEastAsia" w:eastAsiaTheme="minorEastAsia"/>
          <w:sz w:val="28"/>
          <w:szCs w:val="28"/>
        </w:rPr>
        <w:t>、可对整体面色、面色局部特征、面色光泽及唇色等进行分析；</w:t>
      </w:r>
    </w:p>
    <w:p>
      <w:pPr>
        <w:spacing w:line="490" w:lineRule="exact"/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</w:rPr>
        <w:t>、整体面色分析结果≥12种，局部特征分析结果≥2种、面部光泽分析结果≥2种、唇色分析结果≥4种；</w:t>
      </w:r>
    </w:p>
    <w:p>
      <w:pPr>
        <w:spacing w:line="490" w:lineRule="exact"/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</w:rPr>
        <w:t>、可对舌象进行自动分析，包括舌色、苔色、苔质及舌形等，分析结果≥4类20种；</w:t>
      </w:r>
    </w:p>
    <w:p>
      <w:pPr>
        <w:spacing w:line="490" w:lineRule="exact"/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*</w:t>
      </w:r>
      <w:r>
        <w:rPr>
          <w:rFonts w:asciiTheme="minorEastAsia" w:hAnsiTheme="minorEastAsia" w:eastAsiaTheme="minorEastAsia"/>
          <w:sz w:val="28"/>
          <w:szCs w:val="28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、脉象加压方式采用目前行业最先进的机械加压方式，其采集传感器触力面直径范围：3mm＜φ＜8mm；</w:t>
      </w:r>
    </w:p>
    <w:p>
      <w:pPr>
        <w:spacing w:line="490" w:lineRule="exact"/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>、脉象采集传感器灵敏度：≥2.0mv/g FSO；</w:t>
      </w:r>
    </w:p>
    <w:p>
      <w:pPr>
        <w:spacing w:line="490" w:lineRule="exact"/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11</w:t>
      </w:r>
      <w:r>
        <w:rPr>
          <w:rFonts w:hint="eastAsia" w:asciiTheme="minorEastAsia" w:hAnsiTheme="minorEastAsia" w:eastAsiaTheme="minorEastAsia"/>
          <w:sz w:val="28"/>
          <w:szCs w:val="28"/>
        </w:rPr>
        <w:t>、脉象采集传感器触力面可承受：≥5㎏过载；</w:t>
      </w:r>
    </w:p>
    <w:p>
      <w:pPr>
        <w:spacing w:line="490" w:lineRule="exact"/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12</w:t>
      </w:r>
      <w:r>
        <w:rPr>
          <w:rFonts w:hint="eastAsia" w:asciiTheme="minorEastAsia" w:hAnsiTheme="minorEastAsia" w:eastAsiaTheme="minorEastAsia"/>
          <w:sz w:val="28"/>
          <w:szCs w:val="28"/>
        </w:rPr>
        <w:t>、须可自动输出定性脉象判读结果及脉象各项定量指标；</w:t>
      </w:r>
    </w:p>
    <w:p>
      <w:pPr>
        <w:spacing w:line="490" w:lineRule="exact"/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13</w:t>
      </w:r>
      <w:r>
        <w:rPr>
          <w:rFonts w:hint="eastAsia" w:asciiTheme="minorEastAsia" w:hAnsiTheme="minorEastAsia" w:eastAsiaTheme="minorEastAsia"/>
          <w:sz w:val="28"/>
          <w:szCs w:val="28"/>
        </w:rPr>
        <w:t>、在3g≤模拟脉力≤50g时，显示的脉搏传感器采集的脉率值为：30±4~240±4次/分钟；</w:t>
      </w:r>
    </w:p>
    <w:p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</w:t>
      </w:r>
      <w:r>
        <w:rPr>
          <w:rFonts w:asciiTheme="minorEastAsia" w:hAnsiTheme="minorEastAsia" w:eastAsiaTheme="minorEastAsia"/>
          <w:sz w:val="28"/>
          <w:szCs w:val="28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、脉象压力传感器部件的线性度允差为±2</w:t>
      </w:r>
      <w:r>
        <w:rPr>
          <w:rFonts w:asciiTheme="minorEastAsia" w:hAnsiTheme="minorEastAsia" w:eastAsiaTheme="minorEastAsia"/>
          <w:sz w:val="28"/>
          <w:szCs w:val="28"/>
        </w:rPr>
        <w:t>% FSO</w:t>
      </w:r>
      <w:r>
        <w:rPr>
          <w:rFonts w:hint="eastAsia" w:asciiTheme="minorEastAsia" w:hAnsiTheme="minorEastAsia" w:eastAsiaTheme="minorEastAsia"/>
          <w:sz w:val="28"/>
          <w:szCs w:val="28"/>
        </w:rPr>
        <w:t>；</w:t>
      </w:r>
    </w:p>
    <w:p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15、问诊量表及判定标准符合中华中医药学会标准ZYYXH/T 157--2009《中医体质分类与判定》的要求；</w:t>
      </w:r>
    </w:p>
    <w:p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*16、体质辨识功能须在医疗器械注册证中明确注明。</w:t>
      </w:r>
    </w:p>
    <w:p>
      <w:pPr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cs="华文仿宋" w:asciiTheme="minorEastAsia" w:hAnsiTheme="minorEastAsia" w:eastAsiaTheme="minorEastAsia"/>
          <w:bCs/>
          <w:sz w:val="28"/>
          <w:szCs w:val="28"/>
        </w:rPr>
        <w:t>*</w:t>
      </w:r>
      <w:r>
        <w:rPr>
          <w:rFonts w:hint="eastAsia" w:cs="华文仿宋" w:asciiTheme="minorEastAsia" w:hAnsiTheme="minorEastAsia" w:eastAsiaTheme="minorEastAsia"/>
          <w:bCs/>
          <w:sz w:val="28"/>
          <w:szCs w:val="28"/>
        </w:rPr>
        <w:t>1</w:t>
      </w:r>
      <w:r>
        <w:rPr>
          <w:rFonts w:cs="华文仿宋" w:asciiTheme="minorEastAsia" w:hAnsiTheme="minorEastAsia" w:eastAsiaTheme="minorEastAsia"/>
          <w:bCs/>
          <w:sz w:val="28"/>
          <w:szCs w:val="28"/>
        </w:rPr>
        <w:t>7</w:t>
      </w:r>
      <w:r>
        <w:rPr>
          <w:rFonts w:hint="eastAsia" w:cs="华文仿宋" w:asciiTheme="minorEastAsia" w:hAnsiTheme="minorEastAsia" w:eastAsiaTheme="minorEastAsia"/>
          <w:bCs/>
          <w:sz w:val="28"/>
          <w:szCs w:val="28"/>
        </w:rPr>
        <w:t>投标设备具体功能，以医疗器械注册证中适用范围规定为准，否则，视为无相关功能。</w:t>
      </w:r>
    </w:p>
    <w:p>
      <w:pPr>
        <w:ind w:firstLine="562"/>
        <w:rPr>
          <w:rFonts w:cs="华文仿宋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华文仿宋" w:asciiTheme="minorEastAsia" w:hAnsiTheme="minorEastAsia" w:eastAsiaTheme="minorEastAsia"/>
          <w:b/>
          <w:bCs/>
          <w:sz w:val="28"/>
          <w:szCs w:val="28"/>
        </w:rPr>
        <w:t>四、软件功能模块要求</w:t>
      </w:r>
    </w:p>
    <w:p>
      <w:pPr>
        <w:ind w:firstLine="560"/>
        <w:rPr>
          <w:rFonts w:cs="华文仿宋" w:asciiTheme="minorEastAsia" w:hAnsiTheme="minorEastAsia" w:eastAsiaTheme="minorEastAsia"/>
          <w:sz w:val="28"/>
          <w:szCs w:val="28"/>
        </w:rPr>
      </w:pPr>
      <w:r>
        <w:rPr>
          <w:rFonts w:hint="eastAsia" w:cs="华文仿宋" w:asciiTheme="minorEastAsia" w:hAnsiTheme="minorEastAsia" w:eastAsiaTheme="minorEastAsia"/>
          <w:sz w:val="28"/>
          <w:szCs w:val="28"/>
        </w:rPr>
        <w:t>1、中医四诊合参体质辨识系统</w:t>
      </w:r>
    </w:p>
    <w:p>
      <w:pPr>
        <w:ind w:firstLine="560"/>
        <w:rPr>
          <w:rFonts w:cs="华文仿宋" w:asciiTheme="minorEastAsia" w:hAnsiTheme="minorEastAsia" w:eastAsiaTheme="minorEastAsia"/>
          <w:sz w:val="28"/>
          <w:szCs w:val="28"/>
        </w:rPr>
      </w:pPr>
      <w:r>
        <w:rPr>
          <w:rFonts w:hint="eastAsia" w:cs="华文仿宋" w:asciiTheme="minorEastAsia" w:hAnsiTheme="minorEastAsia" w:eastAsiaTheme="minorEastAsia"/>
          <w:sz w:val="28"/>
          <w:szCs w:val="28"/>
        </w:rPr>
        <w:t>2、需提供亚健康人群及中管局规范内要求的老年人群中医体质辨识</w:t>
      </w:r>
    </w:p>
    <w:p>
      <w:pPr>
        <w:ind w:firstLine="560"/>
        <w:rPr>
          <w:rFonts w:cs="华文仿宋" w:asciiTheme="minorEastAsia" w:hAnsiTheme="minorEastAsia" w:eastAsiaTheme="minorEastAsia"/>
          <w:sz w:val="28"/>
          <w:szCs w:val="28"/>
        </w:rPr>
      </w:pPr>
      <w:r>
        <w:rPr>
          <w:rFonts w:hint="eastAsia" w:cs="华文仿宋" w:asciiTheme="minorEastAsia" w:hAnsiTheme="minorEastAsia" w:eastAsiaTheme="minorEastAsia"/>
          <w:sz w:val="28"/>
          <w:szCs w:val="28"/>
        </w:rPr>
        <w:t>3、提供五类重点人群（高血压病、2型糖尿病、老年人、婴幼儿、孕产妇）中医养生指导方案；</w:t>
      </w:r>
    </w:p>
    <w:p>
      <w:pPr>
        <w:ind w:firstLine="560"/>
        <w:rPr>
          <w:rFonts w:cs="华文仿宋" w:asciiTheme="minorEastAsia" w:hAnsiTheme="minorEastAsia" w:eastAsiaTheme="minorEastAsia"/>
          <w:sz w:val="28"/>
          <w:szCs w:val="28"/>
        </w:rPr>
      </w:pPr>
      <w:r>
        <w:rPr>
          <w:rFonts w:hint="eastAsia" w:cs="华文仿宋" w:asciiTheme="minorEastAsia" w:hAnsiTheme="minorEastAsia" w:eastAsiaTheme="minorEastAsia"/>
          <w:sz w:val="28"/>
          <w:szCs w:val="28"/>
        </w:rPr>
        <w:t>4、中医五态辨识调身养心系统</w:t>
      </w:r>
    </w:p>
    <w:p>
      <w:pPr>
        <w:ind w:firstLine="560"/>
        <w:rPr>
          <w:rFonts w:cs="华文仿宋" w:asciiTheme="minorEastAsia" w:hAnsiTheme="minorEastAsia" w:eastAsiaTheme="minorEastAsia"/>
          <w:sz w:val="28"/>
          <w:szCs w:val="28"/>
        </w:rPr>
      </w:pPr>
      <w:r>
        <w:rPr>
          <w:rFonts w:hint="eastAsia" w:cs="华文仿宋" w:asciiTheme="minorEastAsia" w:hAnsiTheme="minorEastAsia" w:eastAsiaTheme="minorEastAsia"/>
          <w:sz w:val="28"/>
          <w:szCs w:val="28"/>
        </w:rPr>
        <w:t>1）提供中医五态人格测评分析，根据人格特征的类型，系统自动给出音乐、行为等养生干预方案；</w:t>
      </w:r>
    </w:p>
    <w:p>
      <w:pPr>
        <w:ind w:firstLine="560"/>
        <w:rPr>
          <w:rFonts w:cs="华文仿宋" w:asciiTheme="minorEastAsia" w:hAnsiTheme="minorEastAsia" w:eastAsiaTheme="minorEastAsia"/>
          <w:sz w:val="28"/>
          <w:szCs w:val="28"/>
        </w:rPr>
      </w:pPr>
      <w:r>
        <w:rPr>
          <w:rFonts w:hint="eastAsia" w:cs="华文仿宋" w:asciiTheme="minorEastAsia" w:hAnsiTheme="minorEastAsia" w:eastAsiaTheme="minorEastAsia"/>
          <w:sz w:val="28"/>
          <w:szCs w:val="28"/>
        </w:rPr>
        <w:t>2）五态人格系统必须具有国家版权局出具的《五态辨识调心养生系统》计算机软件著作权证书；</w:t>
      </w:r>
    </w:p>
    <w:p>
      <w:pPr>
        <w:pStyle w:val="2"/>
        <w:ind w:firstLine="248"/>
      </w:pPr>
    </w:p>
    <w:p>
      <w:pPr>
        <w:spacing w:line="320" w:lineRule="exact"/>
        <w:ind w:firstLine="883"/>
        <w:jc w:val="center"/>
        <w:rPr>
          <w:rFonts w:asciiTheme="majorEastAsia" w:hAnsiTheme="majorEastAsia" w:eastAsiaTheme="majorEastAsia"/>
          <w:b/>
          <w:color w:val="000000"/>
          <w:sz w:val="44"/>
          <w:szCs w:val="44"/>
        </w:rPr>
      </w:pPr>
    </w:p>
    <w:p>
      <w:pPr>
        <w:pStyle w:val="2"/>
        <w:ind w:firstLine="448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智能除锈上油机技术</w:t>
      </w:r>
    </w:p>
    <w:p>
      <w:pPr>
        <w:spacing w:line="320" w:lineRule="exact"/>
        <w:ind w:firstLine="420"/>
        <w:rPr>
          <w:rFonts w:ascii="宋体" w:hAnsi="宋体"/>
          <w:szCs w:val="21"/>
        </w:rPr>
      </w:pPr>
    </w:p>
    <w:p>
      <w:pPr>
        <w:spacing w:after="156" w:afterLines="50" w:line="320" w:lineRule="exact"/>
        <w:ind w:firstLine="56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功能：智能除锈上油机主要用于各大医院消毒供应中心、实验室、军工产品、手术器械、精密仪器快速除锈上油。</w:t>
      </w:r>
    </w:p>
    <w:p>
      <w:pPr>
        <w:spacing w:after="156" w:afterLines="50" w:line="320" w:lineRule="exact"/>
        <w:ind w:firstLine="56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、整体机身采用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316L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不锈钢板，内胆采用钛合金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,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超强耐酸碱腐蚀，清洗方便，美观大方</w:t>
      </w:r>
    </w:p>
    <w:p>
      <w:pPr>
        <w:spacing w:after="156" w:afterLines="50" w:line="320" w:lineRule="exact"/>
        <w:ind w:firstLine="56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*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、外形尺寸：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770*450*490mm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内槽尺寸：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530*300*220mm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容量范围：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30L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。</w:t>
      </w:r>
    </w:p>
    <w:p>
      <w:pPr>
        <w:spacing w:after="156" w:afterLines="50" w:line="320" w:lineRule="exact"/>
        <w:ind w:firstLine="56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*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、功能模块：背景光液晶显示屏，实时显示温度、时间、主机工作状态等按键式操作，操作键直观方便快捷；自带记忆功能，无需重复调节设置；具有温度、时间报警功能，并具有一键式开关机；兼并省电模式与自由模式随意切换。</w:t>
      </w:r>
    </w:p>
    <w:p>
      <w:pPr>
        <w:spacing w:after="156" w:afterLines="50" w:line="320" w:lineRule="exact"/>
        <w:ind w:firstLine="56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*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4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、加热模式：独家研发内槽外贴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40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点状智能温控陶瓷加热模式，有效防止干烧，水电分离，安全可靠，避免传统加热棒漏电危险。平均每分钟升温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度，加热功率：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4000W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。</w:t>
      </w:r>
    </w:p>
    <w:p>
      <w:pPr>
        <w:spacing w:after="156" w:afterLines="50" w:line="320" w:lineRule="exact"/>
        <w:ind w:firstLine="56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*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5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、温度控制功能：采用智能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PID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自动温度控制程序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 xml:space="preserve">,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内槽外置最高精度智能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PT1000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温度传感器；配备高亮液晶屏，温度正负值：±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0.05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℃，温度均匀度：±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0.05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℃水平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/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垂直，温度范围可控制：室温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~99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℃（介质根据温度范围选：除锈剂、除垢剂、润滑剂、自来水）。</w:t>
      </w:r>
    </w:p>
    <w:p>
      <w:pPr>
        <w:spacing w:after="156" w:afterLines="50" w:line="320" w:lineRule="exact"/>
        <w:ind w:firstLine="56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*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6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、采用内循环系统为多孔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U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型对冲循环原理设计，有效提升器械表面与溶液接触强度，节省器械处理时间，提升器械处理效果。</w:t>
      </w:r>
    </w:p>
    <w:p>
      <w:pPr>
        <w:spacing w:after="156" w:afterLines="50" w:line="320" w:lineRule="exact"/>
        <w:ind w:firstLine="56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*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7、电动去污刷轮：转速3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000RPM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，能对带齿状手术器械污物有效剥离。</w:t>
      </w:r>
    </w:p>
    <w:p>
      <w:pPr>
        <w:spacing w:after="156" w:afterLines="50" w:line="320" w:lineRule="exact"/>
        <w:ind w:firstLine="56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*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8、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316L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不锈钢防烫手设计篮筐。</w:t>
      </w:r>
    </w:p>
    <w:p>
      <w:pPr>
        <w:spacing w:after="156" w:afterLines="50" w:line="320" w:lineRule="exact"/>
        <w:ind w:firstLine="56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9、旋转龙头进水，手动阀门排水，无需人工抬、倒，内槽标注水位线、液位线，进水上液科学标准化。</w:t>
      </w:r>
    </w:p>
    <w:p>
      <w:pPr>
        <w:spacing w:after="156" w:afterLines="50" w:line="320" w:lineRule="exact"/>
        <w:ind w:firstLine="56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*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0、安全保护装置：具有断电保护功能，侧挡板防护（防止污物甩出、阻挡异物缠绕）</w:t>
      </w:r>
    </w:p>
    <w:p>
      <w:pPr>
        <w:spacing w:after="156" w:afterLines="50" w:line="320" w:lineRule="exact"/>
        <w:ind w:firstLine="56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*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1、弯盘、方盘、不锈钢碗、镊子杯、小药杯、拉钩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分钟除锈除垢效果达到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100%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，手术刀、手术钳、弯钳、刮勺、拔牙钳、克丝剪、持古器、老虎钳、大平钳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5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分钟除锈效果达到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98%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。</w:t>
      </w:r>
    </w:p>
    <w:p>
      <w:pPr>
        <w:pStyle w:val="2"/>
        <w:ind w:firstLine="248"/>
      </w:pPr>
    </w:p>
    <w:p>
      <w:pPr>
        <w:pStyle w:val="2"/>
        <w:ind w:firstLine="0" w:firstLineChars="0"/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24C14"/>
    <w:multiLevelType w:val="singleLevel"/>
    <w:tmpl w:val="59C24C14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96"/>
    <w:rsid w:val="00B41C96"/>
    <w:rsid w:val="00DB2158"/>
    <w:rsid w:val="22756132"/>
    <w:rsid w:val="58767D0C"/>
    <w:rsid w:val="647F3060"/>
    <w:rsid w:val="7CCD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line="300" w:lineRule="auto"/>
    </w:pPr>
    <w:rPr>
      <w:rFonts w:ascii="宋体" w:hAnsi="宋体" w:cs="Times New Roman"/>
      <w:spacing w:val="4"/>
      <w:kern w:val="16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楷体_GB231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519</Words>
  <Characters>2960</Characters>
  <Lines>24</Lines>
  <Paragraphs>6</Paragraphs>
  <TotalTime>8</TotalTime>
  <ScaleCrop>false</ScaleCrop>
  <LinksUpToDate>false</LinksUpToDate>
  <CharactersWithSpaces>3473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2020-09-15T02:31:00Z</dcterms:created>
  <dc:creator>Administrator</dc:creator>
  <cp:lastModifiedBy>Administrator</cp:lastModifiedBy>
  <dcterms:modified xsi:type="dcterms:W3CDTF">2020-09-16T01:42:22Z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