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项目概况及要求</w:t>
      </w:r>
      <w:bookmarkStart w:id="0" w:name="_Toc11725"/>
      <w:bookmarkEnd w:id="0"/>
      <w:r>
        <w:rPr>
          <w:rFonts w:hint="eastAsia" w:ascii="宋体" w:hAnsi="宋体" w:eastAsia="宋体" w:cs="宋体"/>
          <w:i w:val="0"/>
          <w:iCs w:val="0"/>
          <w:caps w:val="0"/>
          <w:color w:val="333333"/>
          <w:spacing w:val="15"/>
          <w:kern w:val="0"/>
          <w:sz w:val="28"/>
          <w:szCs w:val="28"/>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为贯彻落实党中央、国务院决策部署，按照电力体制改革总体要求，我院根据《国家发展改革委关于进一步 深化燃煤发电上网电价市场化改革的通知》，拟选聘一家合格代理购电商为医院提供购电服务，以及供电保障、后续服务等配套服务，促使医院“算细账”、“巧规划”，进而促进“双碳”目标的实现。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预估采电量：420万kW·h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服务要求：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firstLine="0" w:firstLine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用电数据分析：根据采购人历史用电行为特征、用电需求等特点，从行业特点、 客户价值、用电需求等方面进行分析，为采购人提供用电建议。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用电管理平台：为本院提供所有设备的24小时能耗监测服务，平台能够通过手机、电脑等方式实时掌握电力系统运行状态及耗 能情况，每月、每季度、每年度能够根据用电情况进行能效分析。供应商需根据用电状态及耗能情况提出优化用能合理建议。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供电保障：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根据采购人单位作为医疗机构的特殊性质，全面开展高危及重要电安全隐患排查咨询，建立24小时运维服务团队，进行运维抢修，技术人员保障，（提供运维人员资质、社保证明、运维车辆备案证明）。具有出具配电设备（高低压配电柜、变压器）合规调试、预试报告的能力。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对采购人进行用电培训，做好停电事故应急预案，防止发生供电安全责任事故 ，提高安全用电管理水平，营造安全、稳定、和谐的供用电环境。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对供电安全管理，加强装表接电、采集终端安装、用电检查等现场作业的安全管控提出合理建议。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（4）通过分析电能量采集装置的实时数据，为采购人诊断电网运行的经济性，安全性。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咨询服务：向采购人提供交易规则、电价政策、电费补贴等政策咨询服务。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其他要求：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供应商须向采购人提供真实准确的有关电力直接交易的相关信息及资料，不得提供虚假的或误导性的信息。（提供承诺函，格式自拟）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firstLine="0" w:firstLineChars="0"/>
        <w:jc w:val="left"/>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pPr>
      <w:r>
        <w:rPr>
          <w:rFonts w:hint="eastAsia" w:ascii="宋体" w:hAnsi="宋体" w:eastAsia="宋体" w:cs="宋体"/>
          <w:kern w:val="0"/>
          <w:sz w:val="28"/>
          <w:szCs w:val="28"/>
          <w:shd w:val="clear" w:fill="FFFFFF"/>
          <w:lang w:val="en-US" w:eastAsia="zh-CN" w:bidi="ar"/>
        </w:rPr>
        <w:t xml:space="preserve">供应商需熟知直购电政策，向采购人和电网经营企业提供与履行相关的其它信息，协助采购人申请办理直购电有关手续。（协助办理过程中所产生的费用由供应 商全部承担，提供承诺函，格式自拟）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leftChars="0" w:right="0" w:rightChars="0"/>
        <w:jc w:val="left"/>
        <w:rPr>
          <w:rFonts w:hint="eastAsia" w:ascii="宋体" w:hAnsi="宋体" w:eastAsia="宋体" w:cs="宋体"/>
          <w:color w:val="000000" w:themeColor="text1"/>
          <w:kern w:val="0"/>
          <w:sz w:val="28"/>
          <w:szCs w:val="28"/>
          <w:shd w:val="clear" w:fill="FFFFFF"/>
          <w14:textFill>
            <w14:solidFill>
              <w14:schemeClr w14:val="tx1"/>
            </w14:solidFill>
          </w14:textFill>
        </w:rPr>
      </w:pP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（3）依据四川电力市场有关交易规则及年度指导意见计算的偏差电量考核费由供应 商全部承担。（提供承诺函，格式自拟）</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firstLine="0" w:firstLine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后续服务：派遣电力工程师到采购人单位了解用电设备及其负荷，协助相关部门做负荷及电量预测（提供承诺函，格式自拟）。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7、报价、成交及结算方式：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(1)、报价方式： 本项目报价方式为：在固定水电价的最高限价基础上报下浮报价。固定水电价最高限价为：0.245元/kw/h。未按报价要求进行报价的为无效响应。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（2）、成交供应商的确认方式:供应商须全部响应要求，全部符合资格条件、技术条件及其他条件并且报价最低的供应商为成交供应商。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（3)、结算方式：结算电价=每月交易结算电量以供电公司计量点关口表计量的电量*（固定水电价+除固定水电价外的电费组成部分）。电费单价中除固定水电价的组成部分为不可竞争费用，不作为最终结算依据。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8、支付方式：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合同履约期内，除固定水电价外的结算价格及结算方式按照相关部门政策执行。固定水电价将按照最终成交价进行结算，作为合同履约期间，结算电价中固定水电价的结算依据。合同履约期内，结算电价由采购人直接向电网企业缴纳，供应商的固定水电价交易结算由电网企业与相应电力交易机构按相关规定另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bookmarkStart w:id="1" w:name="bookmark2"/>
      <w:bookmarkEnd w:id="1"/>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bookmarkStart w:id="2" w:name="_GoBack"/>
      <w:bookmarkEnd w:id="2"/>
      <w:r>
        <w:rPr>
          <w:rFonts w:hint="eastAsia" w:ascii="宋体" w:hAnsi="宋体" w:eastAsia="宋体" w:cs="宋体"/>
          <w:i w:val="0"/>
          <w:iCs w:val="0"/>
          <w:caps w:val="0"/>
          <w:color w:val="333333"/>
          <w:spacing w:val="15"/>
          <w:kern w:val="0"/>
          <w:sz w:val="28"/>
          <w:szCs w:val="28"/>
          <w:shd w:val="clear" w:fill="FFFFFF"/>
          <w:lang w:val="en-US" w:eastAsia="zh-CN" w:bidi="ar"/>
        </w:rPr>
        <w:t xml:space="preserve"> 眉山市彭山区中医医院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                             2023年12月24日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31BF7"/>
    <w:multiLevelType w:val="singleLevel"/>
    <w:tmpl w:val="86131BF7"/>
    <w:lvl w:ilvl="0" w:tentative="0">
      <w:start w:val="1"/>
      <w:numFmt w:val="decimal"/>
      <w:suff w:val="nothing"/>
      <w:lvlText w:val="（%1）"/>
      <w:lvlJc w:val="left"/>
    </w:lvl>
  </w:abstractNum>
  <w:abstractNum w:abstractNumId="1">
    <w:nsid w:val="B9F8577E"/>
    <w:multiLevelType w:val="singleLevel"/>
    <w:tmpl w:val="B9F8577E"/>
    <w:lvl w:ilvl="0" w:tentative="0">
      <w:start w:val="1"/>
      <w:numFmt w:val="decimal"/>
      <w:suff w:val="nothing"/>
      <w:lvlText w:val="（%1）"/>
      <w:lvlJc w:val="left"/>
    </w:lvl>
  </w:abstractNum>
  <w:abstractNum w:abstractNumId="2">
    <w:nsid w:val="E214315A"/>
    <w:multiLevelType w:val="multilevel"/>
    <w:tmpl w:val="E214315A"/>
    <w:lvl w:ilvl="0" w:tentative="0">
      <w:start w:val="1"/>
      <w:numFmt w:val="decimal"/>
      <w:suff w:val="nothing"/>
      <w:lvlText w:val="%1、"/>
      <w:lvlJc w:val="left"/>
      <w:pPr>
        <w:ind w:left="36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B039E07"/>
    <w:multiLevelType w:val="multilevel"/>
    <w:tmpl w:val="EB039E07"/>
    <w:lvl w:ilvl="0" w:tentative="0">
      <w:start w:val="6"/>
      <w:numFmt w:val="decimal"/>
      <w:suff w:val="nothing"/>
      <w:lvlText w:val="%1、"/>
      <w:lvlJc w:val="left"/>
      <w:pPr>
        <w:ind w:left="48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63A4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2023-12-23T10:00:30Z</dcterms:created>
  <dc:creator>Administrator</dc:creator>
  <cp:lastModifiedBy>Joker</cp:lastModifiedBy>
  <dcterms:modified xsi:type="dcterms:W3CDTF">2023-12-23T10:01:05Z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25CCC758D92F4F6EB896244BD04D4588_12</vt:lpwstr>
  </property>
</Properties>
</file>