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附件1</w:t>
      </w:r>
      <w:r>
        <w:rPr>
          <w:rFonts w:ascii="黑体" w:hAnsi="宋体" w:eastAsia="黑体" w:cs="黑体"/>
          <w:i w:val="0"/>
          <w:iCs w:val="0"/>
          <w:caps w:val="0"/>
          <w:color w:val="333333"/>
          <w:spacing w:val="15"/>
          <w:kern w:val="0"/>
          <w:sz w:val="44"/>
          <w:szCs w:val="4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2"/>
        <w:gridCol w:w="4836"/>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4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4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sz w:val="24"/>
                <w:szCs w:val="24"/>
              </w:rPr>
            </w:pPr>
            <w:r>
              <w:rPr>
                <w:rFonts w:hint="eastAsia"/>
                <w:sz w:val="24"/>
                <w:szCs w:val="24"/>
                <w:lang w:eastAsia="zh-CN"/>
              </w:rPr>
              <w:t>一次性使用输尿管可弯曲负压引导鞘</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4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sz w:val="24"/>
                <w:szCs w:val="24"/>
              </w:rPr>
            </w:pPr>
            <w:r>
              <w:rPr>
                <w:rFonts w:hint="eastAsia"/>
                <w:sz w:val="24"/>
                <w:szCs w:val="24"/>
                <w:lang w:eastAsia="zh-CN"/>
              </w:rPr>
              <w:t>一次性使用取石网篮</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4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sz w:val="24"/>
                <w:szCs w:val="24"/>
              </w:rPr>
            </w:pPr>
            <w:r>
              <w:rPr>
                <w:rFonts w:hint="eastAsia"/>
                <w:sz w:val="24"/>
                <w:szCs w:val="24"/>
                <w:lang w:val="en-US" w:eastAsia="zh-CN"/>
              </w:rPr>
              <w:t>呼吸过滤器（含咬口）</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4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sz w:val="24"/>
                <w:szCs w:val="24"/>
              </w:rPr>
            </w:pP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5</w:t>
            </w:r>
          </w:p>
        </w:tc>
        <w:tc>
          <w:tcPr>
            <w:tcW w:w="4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pP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bookmarkStart w:id="0" w:name="_GoBack"/>
      <w:bookmarkEnd w:id="0"/>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pPr>
        <w:keepNext w:val="0"/>
        <w:keepLines w:val="0"/>
        <w:widowControl/>
        <w:suppressLineNumbers w:val="0"/>
        <w:jc w:val="left"/>
      </w:pPr>
    </w:p>
    <w:p>
      <w:pPr>
        <w:rPr>
          <w:b w:val="0"/>
          <w:b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1D0D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2024-01-23T08:24:30Z</dcterms:created>
  <dc:creator>Administrator</dc:creator>
  <cp:lastModifiedBy>Joker</cp:lastModifiedBy>
  <dcterms:modified xsi:type="dcterms:W3CDTF">2024-01-23T08:26:04Z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8C66CDD356E14FFB85CBC8011729DC16_12</vt:lpwstr>
  </property>
</Properties>
</file>